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E6" w:rsidRPr="007A0E5A" w:rsidRDefault="004363E6" w:rsidP="004363E6">
      <w:pPr>
        <w:spacing w:before="75" w:after="75" w:line="240" w:lineRule="auto"/>
        <w:jc w:val="center"/>
        <w:outlineLvl w:val="2"/>
        <w:rPr>
          <w:rFonts w:ascii="OpenSansCondensedLight" w:eastAsia="Times New Roman" w:hAnsi="OpenSansCondensedLight" w:cs="Segoe UI"/>
          <w:color w:val="049CDB"/>
          <w:sz w:val="37"/>
          <w:szCs w:val="37"/>
          <w:lang w:val="bg-BG" w:eastAsia="bg-BG"/>
        </w:rPr>
      </w:pPr>
      <w:bookmarkStart w:id="0" w:name="_GoBack"/>
      <w:r w:rsidRPr="007A0E5A">
        <w:rPr>
          <w:rFonts w:ascii="OpenSansCondensedLight" w:eastAsia="Times New Roman" w:hAnsi="OpenSansCondensedLight" w:cs="Segoe UI"/>
          <w:b/>
          <w:bCs/>
          <w:color w:val="008000"/>
          <w:sz w:val="37"/>
          <w:szCs w:val="37"/>
          <w:lang w:val="bg-BG" w:eastAsia="bg-BG"/>
        </w:rPr>
        <w:t xml:space="preserve">Официален старт на програма </w:t>
      </w:r>
      <w:proofErr w:type="spellStart"/>
      <w:r w:rsidRPr="007A0E5A">
        <w:rPr>
          <w:rFonts w:ascii="OpenSansCondensedLight" w:eastAsia="Times New Roman" w:hAnsi="OpenSansCondensedLight" w:cs="Segoe UI"/>
          <w:b/>
          <w:bCs/>
          <w:color w:val="008000"/>
          <w:sz w:val="37"/>
          <w:szCs w:val="37"/>
          <w:lang w:val="bg-BG" w:eastAsia="bg-BG"/>
        </w:rPr>
        <w:t>Interreg</w:t>
      </w:r>
      <w:proofErr w:type="spellEnd"/>
      <w:r w:rsidRPr="007A0E5A">
        <w:rPr>
          <w:rFonts w:ascii="OpenSansCondensedLight" w:eastAsia="Times New Roman" w:hAnsi="OpenSansCondensedLight" w:cs="Segoe UI"/>
          <w:b/>
          <w:bCs/>
          <w:color w:val="008000"/>
          <w:sz w:val="37"/>
          <w:szCs w:val="37"/>
          <w:lang w:val="bg-BG" w:eastAsia="bg-BG"/>
        </w:rPr>
        <w:t xml:space="preserve"> V –A Румъния – България</w:t>
      </w:r>
      <w:bookmarkEnd w:id="0"/>
      <w:r w:rsidRPr="007A0E5A">
        <w:rPr>
          <w:rFonts w:ascii="OpenSansCondensedLight" w:eastAsia="Times New Roman" w:hAnsi="OpenSansCondensedLight" w:cs="Segoe UI"/>
          <w:b/>
          <w:bCs/>
          <w:color w:val="008000"/>
          <w:sz w:val="37"/>
          <w:szCs w:val="37"/>
          <w:lang w:val="bg-BG" w:eastAsia="bg-BG"/>
        </w:rPr>
        <w:t xml:space="preserve"> за новия програмен период</w:t>
      </w:r>
    </w:p>
    <w:p w:rsidR="004363E6" w:rsidRPr="007A0E5A" w:rsidRDefault="004363E6" w:rsidP="004363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           На 26 март 2015 г в Белоградчик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беше даден официалният старт на програмата </w:t>
      </w:r>
      <w:proofErr w:type="spellStart"/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Interreg</w:t>
      </w:r>
      <w:proofErr w:type="spellEnd"/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 V–A Румъния – България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 за новия програмен период. На събитието присъстваха заместник-министри от българското и румънското министерства на регионалното развитие,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Кипрос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Киприяну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от Европейската комисия, румънският посланик в София Н. Пр. Антон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Пъкурецу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, областни управители от трансграничния регион, кметове на български и румънски общини и много други потенциални бенефициенти на програмата.</w:t>
      </w:r>
    </w:p>
    <w:p w:rsidR="004363E6" w:rsidRPr="007A0E5A" w:rsidRDefault="004363E6" w:rsidP="004363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           Преди това, на 25 март 2015 г.,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Русенският университет взе участие в работата на Комитета за наблюдение на програмата като негов член и официален представител на висшите училища в българската част на трансграничния регион.</w:t>
      </w:r>
    </w:p>
    <w:p w:rsidR="004363E6" w:rsidRPr="007A0E5A" w:rsidRDefault="004363E6" w:rsidP="004363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           Програмата V –A Румъния – България с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общ бюджет 258,5 млн. евро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е първата, подписана от Европейската комисия, програма за трансгранично сътрудничество и същевременно обявена за най-прозрачната програма през предходния програмен период.</w:t>
      </w:r>
    </w:p>
    <w:p w:rsidR="004363E6" w:rsidRPr="007A0E5A" w:rsidRDefault="004363E6" w:rsidP="004363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           Заедно със старта на програмата беше обявено и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началото на набиране на проектни предложения по първите три приоритетни оси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: PA 1 A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well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connected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region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, PA 2 A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green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region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, PA 3 A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safe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region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, чието финансиране възлиза на 208,1 млн. евро и представя 80 % от общия бюджет на програмата. Поканата по другите две оси PA 4 A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skilled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and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inclusive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region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, PA 5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An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efficient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region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ще бъде пусната през втората половина на 2015 г.</w:t>
      </w:r>
    </w:p>
    <w:p w:rsidR="004363E6" w:rsidRPr="007A0E5A" w:rsidRDefault="004363E6" w:rsidP="004363E6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           Комитетът за наблюдение одобри всички документи на програмата и те вече са качени на нейния официален сайт: </w:t>
      </w:r>
      <w:hyperlink r:id="rId5" w:history="1"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en-US" w:eastAsia="bg-BG"/>
          </w:rPr>
          <w:t>www</w:t>
        </w:r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.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en-US" w:eastAsia="bg-BG"/>
          </w:rPr>
          <w:t>cbcromaniabulgaria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.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en-US" w:eastAsia="bg-BG"/>
          </w:rPr>
          <w:t>eu</w:t>
        </w:r>
        <w:proofErr w:type="spellEnd"/>
      </w:hyperlink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. В програмата са налице нови елементи, отсъстващи в условията за кандидатстване през предходния програмен период, а именно:</w:t>
      </w:r>
    </w:p>
    <w:p w:rsidR="004363E6" w:rsidRPr="007A0E5A" w:rsidRDefault="004363E6" w:rsidP="004363E6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Условие за одобряването на един проект е да отговаря на критериите за допустимост и административните критерии и да е получил минимум 60 точки по техническата и финансовата част. Ако проектът набере повече от 90 точки, той се предлага за сключване на договор.</w:t>
      </w:r>
    </w:p>
    <w:p w:rsidR="004363E6" w:rsidRPr="007A0E5A" w:rsidRDefault="004363E6" w:rsidP="004363E6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Една организация може да изпълнява едновременно не повече от 4 проекта, когато е водещ партньор.</w:t>
      </w:r>
    </w:p>
    <w:p w:rsidR="004363E6" w:rsidRPr="007A0E5A" w:rsidRDefault="004363E6" w:rsidP="004363E6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Разходите за персонал и административните разходи се изчисляват като процент от директните разходи /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flat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rates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/ и за тях не се подават оправдателни документи, но същите се пазят в организацията-бенефициент.</w:t>
      </w:r>
    </w:p>
    <w:p w:rsidR="004363E6" w:rsidRPr="007A0E5A" w:rsidRDefault="004363E6" w:rsidP="004363E6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Разходите се смятат за допустими от момента на селектирането на даден проект, а не от момента на подписването на договор и др.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 xml:space="preserve">Презентациите, които синтезират новите моменти в програмата V –A Румъния – България, могат да бъдат намерени в сайта на Русенския университет – Международна 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lastRenderedPageBreak/>
        <w:t>дейност – Информационен прозорец.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  <w:t xml:space="preserve">Срокът за подаване на проектни предложения с </w:t>
      </w: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т.нар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„меки" мерки по първите три приоритетни оси е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30.06.2015 г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., а за подаване на предложения за инвестиционни проекти –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30.09.2015 г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.</w:t>
      </w:r>
    </w:p>
    <w:p w:rsidR="004363E6" w:rsidRPr="007A0E5A" w:rsidRDefault="004363E6" w:rsidP="004363E6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Информационни материали</w:t>
      </w:r>
    </w:p>
    <w:p w:rsidR="004363E6" w:rsidRPr="007A0E5A" w:rsidRDefault="004363E6" w:rsidP="004363E6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hyperlink r:id="rId6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4BF70061" wp14:editId="5DD674AF">
              <wp:extent cx="152400" cy="152400"/>
              <wp:effectExtent l="0" t="0" r="0" b="0"/>
              <wp:docPr id="15" name="Picture 15" descr="https://www.uni-ruse.bg/_layouts/15/images/icppt.pn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7" descr="https://www.uni-ruse.bg/_layouts/15/images/icppt.pn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Presentation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Interreg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V-A 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Romania-Bulgaria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Programme.ppt</w:t>
        </w:r>
      </w:hyperlink>
    </w:p>
    <w:p w:rsidR="004363E6" w:rsidRPr="007A0E5A" w:rsidRDefault="004363E6" w:rsidP="004363E6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hyperlink r:id="rId8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0747498D" wp14:editId="54DD4FE2">
              <wp:extent cx="152400" cy="152400"/>
              <wp:effectExtent l="0" t="0" r="0" b="0"/>
              <wp:docPr id="14" name="Picture 14" descr="https://www.uni-ruse.bg/_layouts/15/images/icpptx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8" descr="https://www.uni-ruse.bg/_layouts/15/images/icpptx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Applicants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Pack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presentation.pptx</w:t>
        </w:r>
      </w:hyperlink>
    </w:p>
    <w:p w:rsidR="004363E6" w:rsidRPr="007A0E5A" w:rsidRDefault="004363E6" w:rsidP="004363E6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hyperlink r:id="rId10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494E6AA4" wp14:editId="605DF1BD">
              <wp:extent cx="152400" cy="152400"/>
              <wp:effectExtent l="0" t="0" r="0" b="0"/>
              <wp:docPr id="13" name="Picture 13" descr="https://www.uni-ruse.bg/_layouts/15/images/icgen.gif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9" descr="https://www.uni-ruse.bg/_layouts/15/images/icgen.gif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Ръководство.rar</w:t>
        </w:r>
        <w:proofErr w:type="spellEnd"/>
      </w:hyperlink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  </w:t>
      </w:r>
      <w:hyperlink r:id="rId12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0F0FC98A" wp14:editId="6BB3597E">
              <wp:extent cx="152400" cy="152400"/>
              <wp:effectExtent l="0" t="0" r="0" b="0"/>
              <wp:docPr id="12" name="Picture 12" descr="https://www.uni-ruse.bg/_layouts/15/images/icgen.gif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0" descr="https://www.uni-ruse.bg/_layouts/15/images/icgen.gif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Methodology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for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using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flat-rate.rar</w:t>
        </w:r>
        <w:proofErr w:type="spellEnd"/>
      </w:hyperlink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 </w:t>
      </w:r>
      <w:hyperlink r:id="rId13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5A7D36F9" wp14:editId="10B2E692">
              <wp:extent cx="152400" cy="152400"/>
              <wp:effectExtent l="0" t="0" r="0" b="0"/>
              <wp:docPr id="11" name="Picture 11" descr="https://www.uni-ruse.bg/_layouts/15/images/icgen.gif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1" descr="https://www.uni-ruse.bg/_layouts/15/images/icgen.gif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List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of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eligible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expenditure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for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 xml:space="preserve"> 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bg-BG" w:eastAsia="bg-BG"/>
          </w:rPr>
          <w:t>projects.rar</w:t>
        </w:r>
        <w:proofErr w:type="spellEnd"/>
      </w:hyperlink>
    </w:p>
    <w:p w:rsidR="00E472D3" w:rsidRDefault="004363E6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Condensed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42FF9"/>
    <w:multiLevelType w:val="multilevel"/>
    <w:tmpl w:val="56BC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E6"/>
    <w:rsid w:val="004363E6"/>
    <w:rsid w:val="0070138A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7A532-8B11-44D4-B816-98BFBB8D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3E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ruse.bg/international/info-pane/PublishingImages/Applicants%20Pack%20presentation.pptx" TargetMode="External"/><Relationship Id="rId13" Type="http://schemas.openxmlformats.org/officeDocument/2006/relationships/hyperlink" Target="https://www.uni-ruse.bg/international/info-pane/PublishingImages/List%20of%20eligible%20expenditure%20for%20projects.rar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ni-ruse.bg/international/info-pane/PublishingImages/Methodology%20for%20using%20flat-rate.rar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uni-ruse.bg/international/info-pane/PublishingImages/Presentation%20Interreg%20V-A%20Romania-Bulgaria%20Programme.ppt" TargetMode="External"/><Relationship Id="rId11" Type="http://schemas.openxmlformats.org/officeDocument/2006/relationships/image" Target="media/image3.gif"/><Relationship Id="rId5" Type="http://schemas.openxmlformats.org/officeDocument/2006/relationships/hyperlink" Target="http://www.cbcromaniabulgaria.e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ni-ruse.bg/international/info-pane/PublishingImages/%D0%A0%D1%8A%D0%BA%D0%BE%D0%B2%D0%BE%D0%B4%D1%81%D1%82%D0%B2%D0%BE.rar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TZ5HWECJZ27U-7-94</_dlc_DocId>
    <_dlc_DocIdUrl xmlns="03018842-667b-43b7-b3a8-873e095a590a">
      <Url>https://www.uni-ruse.bg/international/_layouts/15/DocIdRedir.aspx?ID=TZ5HWECJZ27U-7-94</Url>
      <Description>TZ5HWECJZ27U-7-94</Description>
    </_dlc_DocIdUrl>
  </documentManagement>
</p:properties>
</file>

<file path=customXml/itemProps1.xml><?xml version="1.0" encoding="utf-8"?>
<ds:datastoreItem xmlns:ds="http://schemas.openxmlformats.org/officeDocument/2006/customXml" ds:itemID="{E9711A06-AD21-4838-B602-8F0CF467EC65}"/>
</file>

<file path=customXml/itemProps2.xml><?xml version="1.0" encoding="utf-8"?>
<ds:datastoreItem xmlns:ds="http://schemas.openxmlformats.org/officeDocument/2006/customXml" ds:itemID="{603F5CD4-E17C-4AC8-B7C6-7C538F2E076E}"/>
</file>

<file path=customXml/itemProps3.xml><?xml version="1.0" encoding="utf-8"?>
<ds:datastoreItem xmlns:ds="http://schemas.openxmlformats.org/officeDocument/2006/customXml" ds:itemID="{1328B545-C091-4308-B91A-80FDC6BE1490}"/>
</file>

<file path=customXml/itemProps4.xml><?xml version="1.0" encoding="utf-8"?>
<ds:datastoreItem xmlns:ds="http://schemas.openxmlformats.org/officeDocument/2006/customXml" ds:itemID="{DD74B797-F09F-4E40-9EF2-952EE8A838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2021-02-05T09:59:00Z</dcterms:created>
  <dcterms:modified xsi:type="dcterms:W3CDTF">2021-02-05T09:59:00Z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d6fcc73c-4330-4945-a1e9-65703fa42b79</vt:lpwstr>
  </property>
  <property fmtid="{D5CDD505-2E9C-101B-9397-08002B2CF9AE}" pid="3" name="ContentTypeId">
    <vt:lpwstr>0x0101006814912DB77CD7449F10744CD1937796</vt:lpwstr>
  </property>
</Properties>
</file>